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AD" w:rsidRDefault="00A459AD" w:rsidP="00A459AD">
      <w:pPr>
        <w:autoSpaceDE w:val="0"/>
        <w:autoSpaceDN w:val="0"/>
        <w:adjustRightInd w:val="0"/>
        <w:spacing w:after="0" w:line="240" w:lineRule="auto"/>
        <w:jc w:val="both"/>
        <w:rPr>
          <w:rFonts w:cs="Times New Roman"/>
          <w:b/>
          <w:bCs/>
          <w:color w:val="CC0000"/>
          <w:sz w:val="24"/>
          <w:szCs w:val="24"/>
        </w:rPr>
      </w:pPr>
    </w:p>
    <w:p w:rsidR="00862EB5" w:rsidRDefault="00862EB5" w:rsidP="00862EB5">
      <w:pPr>
        <w:autoSpaceDE w:val="0"/>
        <w:autoSpaceDN w:val="0"/>
        <w:adjustRightInd w:val="0"/>
        <w:spacing w:after="0" w:line="240" w:lineRule="auto"/>
        <w:jc w:val="center"/>
        <w:rPr>
          <w:rFonts w:cs="Times New Roman"/>
          <w:b/>
          <w:bCs/>
          <w:color w:val="CC0000"/>
          <w:sz w:val="24"/>
          <w:szCs w:val="24"/>
        </w:rPr>
      </w:pPr>
      <w:r>
        <w:rPr>
          <w:rFonts w:cs="Times New Roman"/>
          <w:b/>
          <w:bCs/>
          <w:noProof/>
          <w:color w:val="CC0000"/>
          <w:sz w:val="24"/>
          <w:szCs w:val="24"/>
        </w:rPr>
        <w:drawing>
          <wp:anchor distT="0" distB="0" distL="114300" distR="114300" simplePos="0" relativeHeight="251658240" behindDoc="0" locked="0" layoutInCell="1" allowOverlap="1" wp14:anchorId="3DEB032A" wp14:editId="7BE536EC">
            <wp:simplePos x="0" y="0"/>
            <wp:positionH relativeFrom="margin">
              <wp:posOffset>174625</wp:posOffset>
            </wp:positionH>
            <wp:positionV relativeFrom="paragraph">
              <wp:posOffset>607695</wp:posOffset>
            </wp:positionV>
            <wp:extent cx="2438400"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11_14_10_16_28_1.jpg.png"/>
                    <pic:cNvPicPr/>
                  </pic:nvPicPr>
                  <pic:blipFill rotWithShape="1">
                    <a:blip r:embed="rId7" cstate="print">
                      <a:extLst>
                        <a:ext uri="{28A0092B-C50C-407E-A947-70E740481C1C}">
                          <a14:useLocalDpi xmlns:a14="http://schemas.microsoft.com/office/drawing/2010/main" val="0"/>
                        </a:ext>
                      </a:extLst>
                    </a:blip>
                    <a:srcRect b="34566"/>
                    <a:stretch/>
                  </pic:blipFill>
                  <pic:spPr bwMode="auto">
                    <a:xfrm>
                      <a:off x="0" y="0"/>
                      <a:ext cx="243840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9AD">
        <w:rPr>
          <w:rFonts w:cs="Times New Roman"/>
          <w:b/>
          <w:bCs/>
          <w:color w:val="CC0000"/>
          <w:sz w:val="24"/>
          <w:szCs w:val="24"/>
        </w:rPr>
        <w:t xml:space="preserve">TÌM HIỂU MỘT SỐ QUY ĐỊNH VỀ LUẬT PHÒNG, CHỐNG THAM NHŨNG </w:t>
      </w:r>
    </w:p>
    <w:p w:rsidR="00A459AD" w:rsidRDefault="00A459AD" w:rsidP="00862EB5">
      <w:pPr>
        <w:autoSpaceDE w:val="0"/>
        <w:autoSpaceDN w:val="0"/>
        <w:adjustRightInd w:val="0"/>
        <w:spacing w:after="0" w:line="240" w:lineRule="auto"/>
        <w:jc w:val="center"/>
        <w:rPr>
          <w:rFonts w:cs="Times New Roman"/>
          <w:b/>
          <w:bCs/>
          <w:color w:val="CC0000"/>
          <w:sz w:val="24"/>
          <w:szCs w:val="24"/>
        </w:rPr>
      </w:pPr>
      <w:r>
        <w:rPr>
          <w:rFonts w:cs="Times New Roman"/>
          <w:b/>
          <w:bCs/>
          <w:color w:val="CC0000"/>
          <w:sz w:val="24"/>
          <w:szCs w:val="24"/>
        </w:rPr>
        <w:t>NĂM 2018</w:t>
      </w:r>
    </w:p>
    <w:p w:rsidR="00A459AD" w:rsidRDefault="00A459AD" w:rsidP="00A459AD">
      <w:pPr>
        <w:autoSpaceDE w:val="0"/>
        <w:autoSpaceDN w:val="0"/>
        <w:adjustRightInd w:val="0"/>
        <w:spacing w:after="0" w:line="240" w:lineRule="auto"/>
        <w:jc w:val="both"/>
        <w:rPr>
          <w:rFonts w:cs="Times New Roman"/>
          <w:b/>
          <w:bCs/>
          <w:color w:val="CC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1. Những hành </w:t>
      </w:r>
      <w:proofErr w:type="gramStart"/>
      <w:r w:rsidRPr="0089568E">
        <w:rPr>
          <w:rFonts w:cs="Times New Roman"/>
          <w:b/>
          <w:bCs/>
          <w:color w:val="CC0000"/>
          <w:sz w:val="24"/>
          <w:szCs w:val="24"/>
        </w:rPr>
        <w:t>vi</w:t>
      </w:r>
      <w:proofErr w:type="gramEnd"/>
      <w:r w:rsidRPr="0089568E">
        <w:rPr>
          <w:rFonts w:cs="Times New Roman"/>
          <w:b/>
          <w:bCs/>
          <w:color w:val="CC0000"/>
          <w:sz w:val="24"/>
          <w:szCs w:val="24"/>
        </w:rPr>
        <w:t xml:space="preserve"> nào được xem là hành vi tham nhũng?</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Theo Điều 2 Luật Phòng, chống tham nhũng năm 2018 (sau đây gọi tắt là Luật này) quy định:</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Các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trong khu vực nhà nước do người có chức vụ, quyền hạn trong cơ quan, tổ chức, đơn vị khu vực nhà nước thực hiện bao gồm: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a) Tham ô tài sản;</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b) Nhận hối lộ;</w:t>
      </w:r>
    </w:p>
    <w:p w:rsidR="00A459AD" w:rsidRPr="0089568E" w:rsidRDefault="00862EB5"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c) </w:t>
      </w:r>
      <w:r w:rsidR="00A459AD" w:rsidRPr="0089568E">
        <w:rPr>
          <w:rFonts w:cs="Times New Roman"/>
          <w:color w:val="000000"/>
          <w:sz w:val="24"/>
          <w:szCs w:val="24"/>
        </w:rPr>
        <w:t>Lạm dụng chức vụ, quyền hạn chiếm đoạt tài sản;</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d) Lợi dụng chức vụ, quyền hạn trong khi thi hành nhiệm vụ, công vụ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đ) Lạm quyền trong khi thi hành nhiệm vụ, công vụ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lastRenderedPageBreak/>
        <w:t>e) Lợi dụng ch</w:t>
      </w:r>
      <w:bookmarkStart w:id="0" w:name="_GoBack"/>
      <w:bookmarkEnd w:id="0"/>
      <w:r w:rsidRPr="0089568E">
        <w:rPr>
          <w:rFonts w:cs="Times New Roman"/>
          <w:color w:val="000000"/>
          <w:sz w:val="24"/>
          <w:szCs w:val="24"/>
        </w:rPr>
        <w:t>ức vụ, quyền hạn gây ảnh hưởng đối với người khác để trục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g) Giả mạo trong công tác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h) Đưa hối lộ, môi giới hối lộ để giải quyết công việc của cơ quan, tổ chức, đơn vị hoặc địa phương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i) Lợi dụng chức vụ, quyền hạn sử dụng trái phép tài sản công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k) Nhũng nhiễu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l) Không thực hiện, thực hiện không đúng hoặc không đầy đủ nhiệm vụ, công vụ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m) Lợi dụng chức vụ, quyền hạn để bao che cho người có hành vi vi phạm pháp luật vì vụ lợi; cản trở, can thiệp trái pháp luật vào việc giám sát, kiểm tra, thanh tra, kiểm toán, điều tra, truy tố, xét xử, thi hành án vì vụ lợi.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Các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trong khu vực ngoài nhà nước do người có chức vụ, quyền hạn trong doanh nghiệp, tổ chức khu vực ngoài nhà nước thực hiện bao gồm: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a) Tham ô tài sản;</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b) Nhận hối lộ;</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c) Đưa hối lộ, môi giới hối lộ để giải quyết công việc của doanh nghiệp, tổ chức mình vì vụ lợi.</w:t>
      </w:r>
    </w:p>
    <w:p w:rsidR="0089568E" w:rsidRPr="0089568E" w:rsidRDefault="0089568E" w:rsidP="0089568E">
      <w:pPr>
        <w:autoSpaceDE w:val="0"/>
        <w:autoSpaceDN w:val="0"/>
        <w:adjustRightInd w:val="0"/>
        <w:spacing w:after="0" w:line="276" w:lineRule="auto"/>
        <w:jc w:val="both"/>
        <w:rPr>
          <w:rFonts w:cs="Times New Roman"/>
          <w:color w:val="000000"/>
          <w:sz w:val="24"/>
          <w:szCs w:val="24"/>
        </w:rPr>
      </w:pPr>
      <w:r w:rsidRPr="0089568E">
        <w:rPr>
          <w:rFonts w:cs="Times New Roman"/>
          <w:noProof/>
          <w:sz w:val="24"/>
          <w:szCs w:val="24"/>
        </w:rPr>
        <w:drawing>
          <wp:inline distT="0" distB="0" distL="0" distR="0">
            <wp:extent cx="2910205" cy="1641538"/>
            <wp:effectExtent l="0" t="0" r="4445" b="0"/>
            <wp:docPr id="3" name="Picture 3" descr="Luật Phòng chống tham nhũng mới nhất 2024 và tổng hợp văn bản hướng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ật Phòng chống tham nhũng mới nhất 2024 và tổng hợp văn bản hướng dẫ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205" cy="1641538"/>
                    </a:xfrm>
                    <a:prstGeom prst="rect">
                      <a:avLst/>
                    </a:prstGeom>
                    <a:noFill/>
                    <a:ln>
                      <a:noFill/>
                    </a:ln>
                  </pic:spPr>
                </pic:pic>
              </a:graphicData>
            </a:graphic>
          </wp:inline>
        </w:drawing>
      </w: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lastRenderedPageBreak/>
        <w:t>Câu 2. Công dân có quyền và nghĩa vụ trong phòng, chống tham nhũng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Quyền và nghĩa vụ của công dân được quy định tại Điều 5 của Luật này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1. Công dân có quyền phát hiện, phản ánh, tố cáo, tố giác, báo tin về hành vi tham nhũng và được bảo vệ, khen thưởng theo quy định của pháp luật; có quyền kiến nghị với cơ quan nhà nước hoàn thiện pháp luật về phòng, chống tham nhũng và giám sát việc thực hiện pháp luật về phòng, chống tham nhũng.</w:t>
      </w:r>
    </w:p>
    <w:p w:rsidR="00A459AD"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2. Công dân có nghĩa vụ hợp tác, giúp đỡ cơ quan, tổ chức, cá nhân có thẩm quyền trong phòng, chống tham nhũng.</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3. Các hành </w:t>
      </w:r>
      <w:proofErr w:type="gramStart"/>
      <w:r w:rsidRPr="0089568E">
        <w:rPr>
          <w:rFonts w:cs="Times New Roman"/>
          <w:b/>
          <w:bCs/>
          <w:color w:val="CC0000"/>
          <w:sz w:val="24"/>
          <w:szCs w:val="24"/>
        </w:rPr>
        <w:t>vi</w:t>
      </w:r>
      <w:proofErr w:type="gramEnd"/>
      <w:r w:rsidRPr="0089568E">
        <w:rPr>
          <w:rFonts w:cs="Times New Roman"/>
          <w:b/>
          <w:bCs/>
          <w:color w:val="CC0000"/>
          <w:sz w:val="24"/>
          <w:szCs w:val="24"/>
        </w:rPr>
        <w:t xml:space="preserve"> bị nghiêm cấm theo Luật Phòng, chống tham nhũng?</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Theo Điều 8 Luật này quy định những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sau đây bị nghiêm cấm: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Các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quy định tại Điều 2 của Luật này.</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2. Đe dọa, trả thù, trù dập, tiết lộ thông tin về người phản ánh, báo cáo, tố cáo, tố giác, báo tin, cung cấp thông tin về hành vi tham nhũng.</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3. Lợi dụng việc phản ánh, báo cáo, tố cáo, tố giác, báo tin, cung cấp thông tin về hành vi tham nhũng để vu khống cơ quan, tổ chức, đơn vị, cá nhân khác.</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4. Bao che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cản trở, can thiệp trái pháp luật vào việc phát hiện, xử lý tham nhũng và các hành vi khác vi phạm pháp luật về phòng, chống tham nhũng quy định tại Mục 2 Chương IX của Luật này gồm: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lastRenderedPageBreak/>
        <w:t>- Xây dựng, ban hành và thực hiện định mức, tiêu chuẩn, chế độ.</w:t>
      </w:r>
    </w:p>
    <w:p w:rsidR="00A459AD"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 Kiểm tra, thanh tra và xử lý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phạm pháp luật về định mức, tiêu chuẩn, chế độ.</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Câu 4. Luật Phòng, chống tham nhũng quy định việc tặng quà và nhận quà tặng như thế nào?</w:t>
      </w:r>
    </w:p>
    <w:p w:rsidR="00862EB5"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Việc tặng quà và nhận quà tặng được quy đinh tại Điều 22 của Luật này quy định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1. Cơ quan, tổ chức, đơn vị, người có chức vụ, quyền hạn không được sử dụng tài chính công, tài sản công làm quà tặng, trừ trường hợp tặng quà vì mục đích từ thiện, đối ngoại và trong trường hợp cần thiết khác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Cơ quan, tổ chức, đơn vị, người có chức vụ, quyền hạn không được trực tiếp hoặc gián tiếp nhận quà tặng dưới mọi hình thức của cơ quan, tổ chức, đơn vị, cá nhân có liên quan đến công việc do mình giải quyết hoặc thuộc phạm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quản lý của mình.</w:t>
      </w:r>
    </w:p>
    <w:p w:rsidR="00A459AD"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3. Chính phủ quy định chi tiết Điều này.</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5. Đối tượng thực hiện kê khai tài sản, </w:t>
      </w:r>
      <w:proofErr w:type="gramStart"/>
      <w:r w:rsidRPr="0089568E">
        <w:rPr>
          <w:rFonts w:cs="Times New Roman"/>
          <w:b/>
          <w:bCs/>
          <w:color w:val="CC0000"/>
          <w:sz w:val="24"/>
          <w:szCs w:val="24"/>
        </w:rPr>
        <w:t>thu</w:t>
      </w:r>
      <w:proofErr w:type="gramEnd"/>
      <w:r w:rsidRPr="0089568E">
        <w:rPr>
          <w:rFonts w:cs="Times New Roman"/>
          <w:b/>
          <w:bCs/>
          <w:color w:val="CC0000"/>
          <w:sz w:val="24"/>
          <w:szCs w:val="24"/>
        </w:rPr>
        <w:t xml:space="preserve"> nhập có nghĩa vụ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Theo Điều 33 của Luật này quy định việc thực hiện kê khai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Người có nghĩa vụ kê khai phải kê khai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và biến động về tài sản, thu nhập của mình, của vợ hoặc chồng, con chưa thành niên theo quy định của Luật này.</w:t>
      </w:r>
    </w:p>
    <w:p w:rsid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lastRenderedPageBreak/>
        <w:t xml:space="preserve">2. Người có nghĩa vụ kê khai phải kê khai trung thực về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giải trình trung thực về nguồn gốc của tài sản, thu nhập tăng thêm theo trình tự, thủ tục quy định tại Luật này và chịu trách nhiệm trước pháp luật về việc kê khai tài sản, thu nhập.</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6. Đối tượng có nghĩa vụ kê khai tài sản, </w:t>
      </w:r>
      <w:proofErr w:type="gramStart"/>
      <w:r w:rsidRPr="0089568E">
        <w:rPr>
          <w:rFonts w:cs="Times New Roman"/>
          <w:b/>
          <w:bCs/>
          <w:color w:val="CC0000"/>
          <w:sz w:val="24"/>
          <w:szCs w:val="24"/>
        </w:rPr>
        <w:t>thu</w:t>
      </w:r>
      <w:proofErr w:type="gramEnd"/>
      <w:r w:rsidRPr="0089568E">
        <w:rPr>
          <w:rFonts w:cs="Times New Roman"/>
          <w:b/>
          <w:bCs/>
          <w:color w:val="CC0000"/>
          <w:sz w:val="24"/>
          <w:szCs w:val="24"/>
        </w:rPr>
        <w:t xml:space="preserve"> nhập là ai?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Đối tượng có nghĩa vụ kê khai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được quy định tại Điều 34 của Luật này gồm: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1. Cán bộ, công chức.</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Sĩ quan Công </w:t>
      </w:r>
      <w:proofErr w:type="gramStart"/>
      <w:r w:rsidRPr="0089568E">
        <w:rPr>
          <w:rFonts w:cs="Times New Roman"/>
          <w:color w:val="000000"/>
          <w:sz w:val="24"/>
          <w:szCs w:val="24"/>
        </w:rPr>
        <w:t>an</w:t>
      </w:r>
      <w:proofErr w:type="gramEnd"/>
      <w:r w:rsidRPr="0089568E">
        <w:rPr>
          <w:rFonts w:cs="Times New Roman"/>
          <w:color w:val="000000"/>
          <w:sz w:val="24"/>
          <w:szCs w:val="24"/>
        </w:rPr>
        <w:t xml:space="preserve"> nhân dân; sĩ quan Quân đội nhân dân, quân nhân chuyên nghiệp.</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3. Người giữ chức vụ từ Phó trưởng phòng và tương đương trở lên công tác tại đơn vị sự nghiệp công lập, doanh nghiệp nhà nước, </w:t>
      </w:r>
      <w:proofErr w:type="gramStart"/>
      <w:r w:rsidRPr="0089568E">
        <w:rPr>
          <w:rFonts w:cs="Times New Roman"/>
          <w:color w:val="000000"/>
          <w:sz w:val="24"/>
          <w:szCs w:val="24"/>
        </w:rPr>
        <w:t>người</w:t>
      </w:r>
      <w:proofErr w:type="gramEnd"/>
      <w:r w:rsidRPr="0089568E">
        <w:rPr>
          <w:rFonts w:cs="Times New Roman"/>
          <w:color w:val="000000"/>
          <w:sz w:val="24"/>
          <w:szCs w:val="24"/>
        </w:rPr>
        <w:t xml:space="preserve"> được cử làm đại diện phần vốn nhà nước tại doanh nghiệp.</w:t>
      </w:r>
    </w:p>
    <w:p w:rsidR="00A459AD"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4. Người ứng cử đại biểu Quốc hội, người ứng cử đại biểu Hội đồng nhân dân.</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7. Tài sản, </w:t>
      </w:r>
      <w:proofErr w:type="gramStart"/>
      <w:r w:rsidRPr="0089568E">
        <w:rPr>
          <w:rFonts w:cs="Times New Roman"/>
          <w:b/>
          <w:bCs/>
          <w:color w:val="CC0000"/>
          <w:sz w:val="24"/>
          <w:szCs w:val="24"/>
        </w:rPr>
        <w:t>thu</w:t>
      </w:r>
      <w:proofErr w:type="gramEnd"/>
      <w:r w:rsidRPr="0089568E">
        <w:rPr>
          <w:rFonts w:cs="Times New Roman"/>
          <w:b/>
          <w:bCs/>
          <w:color w:val="CC0000"/>
          <w:sz w:val="24"/>
          <w:szCs w:val="24"/>
        </w:rPr>
        <w:t xml:space="preserve"> nhập phải kê khai được quy định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Theo Điều 35 Luật này quy định:</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phải kê khai bao gồm:</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a) Quyền sử dụng đất, nhà ở, công trình xây dựng và tài sản khác gắn liền với đất, nhà ở, công trình xây dựng;</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b) Kim khí quý, đá quý, tiền, giấy tờ có giá và động sản khác mà mỗi tài sản có giá trị từ 50.000.000 đồng trở lên;</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c) Tài sản, tài khoản ở nước ngoài;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lastRenderedPageBreak/>
        <w:t xml:space="preserve">d) Tổng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giữa 02 lần kê khai.</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Chính phủ quy định mẫu bản kê khai và việc thực hiện kê khai tài sản,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nhập quy định tại Điều này.</w:t>
      </w:r>
    </w:p>
    <w:p w:rsidR="0089568E" w:rsidRPr="0089568E" w:rsidRDefault="0089568E" w:rsidP="0089568E">
      <w:pPr>
        <w:autoSpaceDE w:val="0"/>
        <w:autoSpaceDN w:val="0"/>
        <w:adjustRightInd w:val="0"/>
        <w:spacing w:after="0" w:line="276" w:lineRule="auto"/>
        <w:jc w:val="both"/>
        <w:rPr>
          <w:rFonts w:cs="Times New Roman"/>
          <w:color w:val="000000"/>
          <w:sz w:val="24"/>
          <w:szCs w:val="24"/>
        </w:rPr>
      </w:pPr>
      <w:r w:rsidRPr="0089568E">
        <w:rPr>
          <w:rFonts w:cs="Times New Roman"/>
          <w:noProof/>
          <w:sz w:val="24"/>
          <w:szCs w:val="24"/>
        </w:rPr>
        <w:drawing>
          <wp:inline distT="0" distB="0" distL="0" distR="0">
            <wp:extent cx="2476500" cy="1847850"/>
            <wp:effectExtent l="0" t="0" r="0" b="0"/>
            <wp:docPr id="5" name="Picture 5" descr="Chống tham nhũng, đừng hy vọng nhiều vào thanh t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ống tham nhũng, đừng hy vọng nhiều vào thanh tra&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8. Việc phản ánh, tố cáo và xử lý phản ánh, giải quyết tố cáo về hành </w:t>
      </w:r>
      <w:proofErr w:type="gramStart"/>
      <w:r w:rsidRPr="0089568E">
        <w:rPr>
          <w:rFonts w:cs="Times New Roman"/>
          <w:b/>
          <w:bCs/>
          <w:color w:val="CC0000"/>
          <w:sz w:val="24"/>
          <w:szCs w:val="24"/>
        </w:rPr>
        <w:t>vi</w:t>
      </w:r>
      <w:proofErr w:type="gramEnd"/>
      <w:r w:rsidRPr="0089568E">
        <w:rPr>
          <w:rFonts w:cs="Times New Roman"/>
          <w:b/>
          <w:bCs/>
          <w:color w:val="CC0000"/>
          <w:sz w:val="24"/>
          <w:szCs w:val="24"/>
        </w:rPr>
        <w:t xml:space="preserve"> tham nhũng được Luật quy định ra sao?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Theo Điều 65 của Luật này quy định:</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Cá nhân, tổ chức có quyền phản ánh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cá nhân có quyền tố cáo về hành vi tham nhũng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Cơ quan, tổ chức, đơn vị, cá nhân có thẩm quyền khi nhận được phản ánh, tố cáo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phải xem xét, xử lý kịp thời và áp dụng các biện pháp bảo vệ người phản ánh, tố cáo.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3. Việc tiếp nhận, giải quyết tố cáo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được thực hiện theo quy định của pháp luật về tố cáo.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4. Việc tiếp nhận, xử lý phản ánh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được thực hiện theo quy định của pháp luật về tiếp công dân.</w:t>
      </w: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lastRenderedPageBreak/>
        <w:t xml:space="preserve">Câu 9. Người phản ánh, tố cáo, báo cáo về hành </w:t>
      </w:r>
      <w:proofErr w:type="gramStart"/>
      <w:r w:rsidRPr="0089568E">
        <w:rPr>
          <w:rFonts w:cs="Times New Roman"/>
          <w:b/>
          <w:bCs/>
          <w:color w:val="CC0000"/>
          <w:sz w:val="24"/>
          <w:szCs w:val="24"/>
        </w:rPr>
        <w:t>vi</w:t>
      </w:r>
      <w:proofErr w:type="gramEnd"/>
      <w:r w:rsidRPr="0089568E">
        <w:rPr>
          <w:rFonts w:cs="Times New Roman"/>
          <w:b/>
          <w:bCs/>
          <w:color w:val="CC0000"/>
          <w:sz w:val="24"/>
          <w:szCs w:val="24"/>
        </w:rPr>
        <w:t xml:space="preserve"> tham nhũng được pháp luật bảo vệ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Việc bảo vệ người phản ánh, tố cáo, báo cáo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được pháp luật quy định tại Điều 67 của Luật này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Việc bảo vệ người tố cáo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được thực hiện theo quy định của pháp luật về tố cáo.</w:t>
      </w:r>
    </w:p>
    <w:p w:rsidR="00A459AD"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Người phản ánh, báo cáo về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được áp dụng các biện pháp bảo vệ như bảo vệ người tố cáo.</w:t>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 xml:space="preserve">Câu 10. Người có hành </w:t>
      </w:r>
      <w:proofErr w:type="gramStart"/>
      <w:r w:rsidRPr="0089568E">
        <w:rPr>
          <w:rFonts w:cs="Times New Roman"/>
          <w:b/>
          <w:bCs/>
          <w:color w:val="CC0000"/>
          <w:sz w:val="24"/>
          <w:szCs w:val="24"/>
        </w:rPr>
        <w:t>vi</w:t>
      </w:r>
      <w:proofErr w:type="gramEnd"/>
      <w:r w:rsidRPr="0089568E">
        <w:rPr>
          <w:rFonts w:cs="Times New Roman"/>
          <w:b/>
          <w:bCs/>
          <w:color w:val="CC0000"/>
          <w:sz w:val="24"/>
          <w:szCs w:val="24"/>
        </w:rPr>
        <w:t xml:space="preserve"> tham nhũng bị xử lý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Theo Điều 92 Luật này quy định xử lý đối với người có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Người có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giữ bất kì chức vụ, vị trí công tác nào đều phải bị xử lý</w:t>
      </w:r>
      <w:r w:rsidR="00862EB5" w:rsidRPr="0089568E">
        <w:rPr>
          <w:rFonts w:cs="Times New Roman"/>
          <w:color w:val="000000"/>
          <w:sz w:val="24"/>
          <w:szCs w:val="24"/>
        </w:rPr>
        <w:t xml:space="preserve"> </w:t>
      </w:r>
      <w:r w:rsidRPr="0089568E">
        <w:rPr>
          <w:rFonts w:cs="Times New Roman"/>
          <w:color w:val="000000"/>
          <w:sz w:val="24"/>
          <w:szCs w:val="24"/>
        </w:rPr>
        <w:t>nghiêm minh theo quy định của pháp luật, kể cả người đã nghỉ hưu, thôi việc, chuyển công tác.</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Người có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quy định tại Điều 2 của Luật này thì tùy theo tính chất, mức độ vi phạm, phải bị xử lý kỷ luật, xử phạt vi phạm hành chính hoặc bị truy cứu trách nhiệm hình sự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3. Trường hợp người có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bị xử lý kỷ luật là người đứng đầu hoặc cấp phó của người đứng đầu cơ quan, tổ chức, đơn vị thì bị xem xét tăng hình thức kỷ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4. Người có hành vi tham nhũng đã chủ động khai báo trước khi bị phát giác, tích cực hợp tác với cơ quan có thẩm quyền, góp phần hạn chế </w:t>
      </w:r>
      <w:r w:rsidRPr="0089568E">
        <w:rPr>
          <w:rFonts w:cs="Times New Roman"/>
          <w:color w:val="000000"/>
          <w:sz w:val="24"/>
          <w:szCs w:val="24"/>
        </w:rPr>
        <w:lastRenderedPageBreak/>
        <w:t>thiệt hại, tự giác nộp lại tài sản tham nhũng, khắc phục hậu quả của hành vi tham nhũng thì được xem xét giảm hình thức kỷ luật, giảm nhẹ trách nhiệm hình sự, miễn hình phạt hoặc miễn trách nhiệm hình sự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5. Người bị kết án về tội phạm tham nhũng là cán bộ, công chức, viên chức mà bản án, quyết định của Tòa án đã có hiệu lực pháp luật thì đương nhiên bị buộc thôi việc đối với đại biểu Quốc hội, đại biểu Hội đồng nhân dân thì đương nhiên mất quyền đại biểu Quốc hội, đại biểu Hội đồng nhân dân.</w:t>
      </w:r>
    </w:p>
    <w:p w:rsidR="0089568E" w:rsidRDefault="0089568E" w:rsidP="0089568E">
      <w:pPr>
        <w:autoSpaceDE w:val="0"/>
        <w:autoSpaceDN w:val="0"/>
        <w:adjustRightInd w:val="0"/>
        <w:spacing w:after="0" w:line="276" w:lineRule="auto"/>
        <w:jc w:val="both"/>
        <w:rPr>
          <w:rFonts w:cs="Times New Roman"/>
          <w:color w:val="000000"/>
          <w:sz w:val="24"/>
          <w:szCs w:val="24"/>
        </w:rPr>
      </w:pPr>
      <w:r w:rsidRPr="0089568E">
        <w:rPr>
          <w:rFonts w:cs="Times New Roman"/>
          <w:noProof/>
          <w:sz w:val="24"/>
          <w:szCs w:val="24"/>
        </w:rPr>
        <w:drawing>
          <wp:inline distT="0" distB="0" distL="0" distR="0">
            <wp:extent cx="2657475" cy="1724025"/>
            <wp:effectExtent l="0" t="0" r="9525" b="9525"/>
            <wp:docPr id="7" name="Picture 7" descr="Phòng chống tham nhũng là nhiệm vụ của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òng chống tham nhũng là nhiệm vụ của 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706B4C" w:rsidRPr="0089568E" w:rsidRDefault="00706B4C" w:rsidP="0089568E">
      <w:pPr>
        <w:autoSpaceDE w:val="0"/>
        <w:autoSpaceDN w:val="0"/>
        <w:adjustRightInd w:val="0"/>
        <w:spacing w:after="0" w:line="276" w:lineRule="auto"/>
        <w:jc w:val="both"/>
        <w:rPr>
          <w:rFonts w:cs="Times New Roman"/>
          <w:color w:val="000000"/>
          <w:sz w:val="24"/>
          <w:szCs w:val="24"/>
        </w:rPr>
      </w:pPr>
    </w:p>
    <w:p w:rsidR="00A459AD" w:rsidRPr="0089568E" w:rsidRDefault="00A459AD" w:rsidP="0089568E">
      <w:pPr>
        <w:autoSpaceDE w:val="0"/>
        <w:autoSpaceDN w:val="0"/>
        <w:adjustRightInd w:val="0"/>
        <w:spacing w:after="0" w:line="276" w:lineRule="auto"/>
        <w:jc w:val="both"/>
        <w:rPr>
          <w:rFonts w:cs="Times New Roman"/>
          <w:b/>
          <w:bCs/>
          <w:color w:val="CC0000"/>
          <w:sz w:val="24"/>
          <w:szCs w:val="24"/>
        </w:rPr>
      </w:pPr>
      <w:r w:rsidRPr="0089568E">
        <w:rPr>
          <w:rFonts w:cs="Times New Roman"/>
          <w:b/>
          <w:bCs/>
          <w:color w:val="CC0000"/>
          <w:sz w:val="24"/>
          <w:szCs w:val="24"/>
        </w:rPr>
        <w:t>Câu 11. Tài sản tham nhũng bị xử lý như thế nào?</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Theo Điều 93 của Luật này quy định việc xữ lý đối với tài sản tham nhũng như sau:</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1. Tài sản tham nhũng phải được </w:t>
      </w:r>
      <w:proofErr w:type="gramStart"/>
      <w:r w:rsidRPr="0089568E">
        <w:rPr>
          <w:rFonts w:cs="Times New Roman"/>
          <w:color w:val="000000"/>
          <w:sz w:val="24"/>
          <w:szCs w:val="24"/>
        </w:rPr>
        <w:t>thu</w:t>
      </w:r>
      <w:proofErr w:type="gramEnd"/>
      <w:r w:rsidRPr="0089568E">
        <w:rPr>
          <w:rFonts w:cs="Times New Roman"/>
          <w:color w:val="000000"/>
          <w:sz w:val="24"/>
          <w:szCs w:val="24"/>
        </w:rPr>
        <w:t xml:space="preserve"> hồi, trả lại cho chủ sở hữu, người quản lý hợp pháp hoặc tịch thu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r w:rsidRPr="0089568E">
        <w:rPr>
          <w:rFonts w:cs="Times New Roman"/>
          <w:color w:val="000000"/>
          <w:sz w:val="24"/>
          <w:szCs w:val="24"/>
        </w:rPr>
        <w:t xml:space="preserve">2. Thiệt hại do hành </w:t>
      </w:r>
      <w:proofErr w:type="gramStart"/>
      <w:r w:rsidRPr="0089568E">
        <w:rPr>
          <w:rFonts w:cs="Times New Roman"/>
          <w:color w:val="000000"/>
          <w:sz w:val="24"/>
          <w:szCs w:val="24"/>
        </w:rPr>
        <w:t>vi</w:t>
      </w:r>
      <w:proofErr w:type="gramEnd"/>
      <w:r w:rsidRPr="0089568E">
        <w:rPr>
          <w:rFonts w:cs="Times New Roman"/>
          <w:color w:val="000000"/>
          <w:sz w:val="24"/>
          <w:szCs w:val="24"/>
        </w:rPr>
        <w:t xml:space="preserve"> tham nhũng gây ra phải được khắc phục; người có hành vi tham nhũng gây thiệt hại phải bồi thường theo quy định của pháp luật.</w:t>
      </w:r>
    </w:p>
    <w:p w:rsidR="00A459AD" w:rsidRPr="0089568E" w:rsidRDefault="00A459AD" w:rsidP="0089568E">
      <w:pPr>
        <w:autoSpaceDE w:val="0"/>
        <w:autoSpaceDN w:val="0"/>
        <w:adjustRightInd w:val="0"/>
        <w:spacing w:after="0" w:line="276" w:lineRule="auto"/>
        <w:jc w:val="both"/>
        <w:rPr>
          <w:rFonts w:cs="Times New Roman"/>
          <w:color w:val="000000"/>
          <w:sz w:val="24"/>
          <w:szCs w:val="24"/>
        </w:rPr>
      </w:pPr>
    </w:p>
    <w:p w:rsidR="004101C7" w:rsidRDefault="0089568E" w:rsidP="00A459AD">
      <w:pPr>
        <w:jc w:val="both"/>
      </w:pPr>
      <w:r>
        <w:rPr>
          <w:noProof/>
        </w:rPr>
        <w:drawing>
          <wp:inline distT="0" distB="0" distL="0" distR="0">
            <wp:extent cx="2910205" cy="1978939"/>
            <wp:effectExtent l="0" t="0" r="4445" b="2540"/>
            <wp:docPr id="6" name="Picture 6" descr="Hiểu đúng để thống nhất nhận thức và hành động về cuộc đấu tranh phòng,  chống tham nhũng - Báo Lâm Đồ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ểu đúng để thống nhất nhận thức và hành động về cuộc đấu tranh phòng,  chống tham nhũng - Báo Lâm Đồng điện t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205" cy="1978939"/>
                    </a:xfrm>
                    <a:prstGeom prst="rect">
                      <a:avLst/>
                    </a:prstGeom>
                    <a:noFill/>
                    <a:ln>
                      <a:noFill/>
                    </a:ln>
                  </pic:spPr>
                </pic:pic>
              </a:graphicData>
            </a:graphic>
          </wp:inline>
        </w:drawing>
      </w:r>
    </w:p>
    <w:sectPr w:rsidR="004101C7" w:rsidSect="00862EB5">
      <w:headerReference w:type="default" r:id="rId12"/>
      <w:pgSz w:w="15840" w:h="12240" w:orient="landscape"/>
      <w:pgMar w:top="426" w:right="814" w:bottom="567" w:left="709" w:header="720" w:footer="720" w:gutter="0"/>
      <w:cols w:num="3" w:space="284"/>
      <w:noEndnote/>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16B" w:rsidRDefault="0056716B" w:rsidP="0089568E">
      <w:pPr>
        <w:spacing w:after="0" w:line="240" w:lineRule="auto"/>
      </w:pPr>
      <w:r>
        <w:separator/>
      </w:r>
    </w:p>
  </w:endnote>
  <w:endnote w:type="continuationSeparator" w:id="0">
    <w:p w:rsidR="0056716B" w:rsidRDefault="0056716B" w:rsidP="00895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16B" w:rsidRDefault="0056716B" w:rsidP="0089568E">
      <w:pPr>
        <w:spacing w:after="0" w:line="240" w:lineRule="auto"/>
      </w:pPr>
      <w:r>
        <w:separator/>
      </w:r>
    </w:p>
  </w:footnote>
  <w:footnote w:type="continuationSeparator" w:id="0">
    <w:p w:rsidR="0056716B" w:rsidRDefault="0056716B" w:rsidP="00895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8E" w:rsidRPr="0089568E" w:rsidRDefault="0089568E" w:rsidP="0089568E">
    <w:pPr>
      <w:pStyle w:val="Header"/>
      <w:jc w:val="center"/>
      <w:rPr>
        <w:b/>
        <w:i/>
      </w:rPr>
    </w:pPr>
    <w:r w:rsidRPr="0089568E">
      <w:rPr>
        <w:b/>
        <w:i/>
      </w:rPr>
      <w:t>HỘI ĐỒNG PHỐI HỢP PHỔ BIẾN GIÁO DỤC PHÁP LUẬT QUẬN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CA1C30"/>
    <w:multiLevelType w:val="multilevel"/>
    <w:tmpl w:val="EE887D1E"/>
    <w:styleLink w:val="Style1"/>
    <w:lvl w:ilvl="0">
      <w:start w:val="1"/>
      <w:numFmt w:val="upperRoman"/>
      <w:suff w:val="space"/>
      <w:lvlText w:val="%1."/>
      <w:lvlJc w:val="left"/>
      <w:pPr>
        <w:ind w:left="0" w:firstLine="357"/>
      </w:pPr>
      <w:rPr>
        <w:rFonts w:hint="default"/>
      </w:rPr>
    </w:lvl>
    <w:lvl w:ilvl="1">
      <w:start w:val="1"/>
      <w:numFmt w:val="decimal"/>
      <w:suff w:val="space"/>
      <w:lvlText w:val="%2."/>
      <w:lvlJc w:val="left"/>
      <w:pPr>
        <w:ind w:left="0" w:firstLine="357"/>
      </w:pPr>
      <w:rPr>
        <w:rFonts w:hint="default"/>
      </w:rPr>
    </w:lvl>
    <w:lvl w:ilvl="2">
      <w:start w:val="1"/>
      <w:numFmt w:val="decimal"/>
      <w:suff w:val="space"/>
      <w:lvlText w:val="%2.%3."/>
      <w:lvlJc w:val="left"/>
      <w:pPr>
        <w:ind w:left="0" w:firstLine="357"/>
      </w:pPr>
      <w:rPr>
        <w:rFonts w:hint="default"/>
      </w:rPr>
    </w:lvl>
    <w:lvl w:ilvl="3">
      <w:start w:val="1"/>
      <w:numFmt w:val="decimal"/>
      <w:suff w:val="space"/>
      <w:lvlText w:val="%2.%3.%4."/>
      <w:lvlJc w:val="left"/>
      <w:pPr>
        <w:ind w:left="0" w:firstLine="357"/>
      </w:pPr>
      <w:rPr>
        <w:rFonts w:hint="default"/>
      </w:rPr>
    </w:lvl>
    <w:lvl w:ilvl="4">
      <w:start w:val="1"/>
      <w:numFmt w:val="lowerLetter"/>
      <w:suff w:val="space"/>
      <w:lvlText w:val="%5."/>
      <w:lvlJc w:val="left"/>
      <w:pPr>
        <w:ind w:left="0" w:firstLine="357"/>
      </w:pPr>
      <w:rPr>
        <w:rFonts w:hint="default"/>
      </w:rPr>
    </w:lvl>
    <w:lvl w:ilvl="5">
      <w:start w:val="1"/>
      <w:numFmt w:val="bullet"/>
      <w:suff w:val="space"/>
      <w:lvlText w:val="-"/>
      <w:lvlJc w:val="left"/>
      <w:pPr>
        <w:ind w:left="0" w:firstLine="357"/>
      </w:pPr>
      <w:rPr>
        <w:rFonts w:ascii="Times New Roman" w:hAnsi="Times New Roman" w:cs="Times New Roman" w:hint="default"/>
      </w:rPr>
    </w:lvl>
    <w:lvl w:ilvl="6">
      <w:start w:val="1"/>
      <w:numFmt w:val="decimal"/>
      <w:lvlText w:val="%7."/>
      <w:lvlJc w:val="left"/>
      <w:pPr>
        <w:ind w:left="0" w:firstLine="357"/>
      </w:pPr>
      <w:rPr>
        <w:rFonts w:hint="default"/>
      </w:rPr>
    </w:lvl>
    <w:lvl w:ilvl="7">
      <w:start w:val="1"/>
      <w:numFmt w:val="lowerLetter"/>
      <w:lvlText w:val="%8."/>
      <w:lvlJc w:val="left"/>
      <w:pPr>
        <w:ind w:left="0" w:firstLine="357"/>
      </w:pPr>
      <w:rPr>
        <w:rFonts w:hint="default"/>
      </w:rPr>
    </w:lvl>
    <w:lvl w:ilvl="8">
      <w:start w:val="1"/>
      <w:numFmt w:val="lowerRoman"/>
      <w:lvlText w:val="%9."/>
      <w:lvlJc w:val="right"/>
      <w:pPr>
        <w:ind w:left="0" w:firstLine="35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9AD"/>
    <w:rsid w:val="001172D5"/>
    <w:rsid w:val="001F1C33"/>
    <w:rsid w:val="004101C7"/>
    <w:rsid w:val="0056716B"/>
    <w:rsid w:val="00706B4C"/>
    <w:rsid w:val="00862EB5"/>
    <w:rsid w:val="0089568E"/>
    <w:rsid w:val="00954E51"/>
    <w:rsid w:val="00A45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724F28-C1FA-4ECD-9AC6-AA991ADD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54E51"/>
    <w:pPr>
      <w:numPr>
        <w:numId w:val="1"/>
      </w:numPr>
    </w:pPr>
  </w:style>
  <w:style w:type="paragraph" w:styleId="BalloonText">
    <w:name w:val="Balloon Text"/>
    <w:basedOn w:val="Normal"/>
    <w:link w:val="BalloonTextChar"/>
    <w:uiPriority w:val="99"/>
    <w:semiHidden/>
    <w:unhideWhenUsed/>
    <w:rsid w:val="00862E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B5"/>
    <w:rPr>
      <w:rFonts w:ascii="Segoe UI" w:hAnsi="Segoe UI" w:cs="Segoe UI"/>
      <w:sz w:val="18"/>
      <w:szCs w:val="18"/>
    </w:rPr>
  </w:style>
  <w:style w:type="paragraph" w:styleId="Header">
    <w:name w:val="header"/>
    <w:basedOn w:val="Normal"/>
    <w:link w:val="HeaderChar"/>
    <w:uiPriority w:val="99"/>
    <w:unhideWhenUsed/>
    <w:rsid w:val="00895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68E"/>
  </w:style>
  <w:style w:type="paragraph" w:styleId="Footer">
    <w:name w:val="footer"/>
    <w:basedOn w:val="Normal"/>
    <w:link w:val="FooterChar"/>
    <w:uiPriority w:val="99"/>
    <w:unhideWhenUsed/>
    <w:rsid w:val="00895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BaoPhuong</cp:lastModifiedBy>
  <cp:revision>2</cp:revision>
  <cp:lastPrinted>2023-08-22T01:36:00Z</cp:lastPrinted>
  <dcterms:created xsi:type="dcterms:W3CDTF">2023-08-22T01:24:00Z</dcterms:created>
  <dcterms:modified xsi:type="dcterms:W3CDTF">2024-10-23T04:15:00Z</dcterms:modified>
</cp:coreProperties>
</file>